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C9E9" w14:textId="79F275DD" w:rsidR="003C449A" w:rsidRDefault="003C449A" w:rsidP="003C449A">
      <w:pPr>
        <w:pStyle w:val="Heading2"/>
      </w:pPr>
      <w:r>
        <w:t>Appendix 2 – example log book</w:t>
      </w:r>
      <w:r>
        <w:t xml:space="preserve"> WORD version for amending locally</w:t>
      </w:r>
      <w:r w:rsidR="00AF77A6">
        <w:t xml:space="preserve"> </w:t>
      </w:r>
    </w:p>
    <w:p w14:paraId="65A0AB79" w14:textId="09065751" w:rsidR="00AF77A6" w:rsidRPr="00AF77A6" w:rsidRDefault="00AF77A6" w:rsidP="00AF77A6">
      <w:r>
        <w:t xml:space="preserve">Extract from </w:t>
      </w:r>
      <w:hyperlink r:id="rId10" w:history="1">
        <w:r w:rsidRPr="00220B3A">
          <w:rPr>
            <w:rStyle w:val="Hyperlink"/>
          </w:rPr>
          <w:t>CS CoP004 Local Exhaust Ventilation</w:t>
        </w:r>
      </w:hyperlink>
      <w:bookmarkStart w:id="0" w:name="_GoBack"/>
      <w:bookmarkEnd w:id="0"/>
    </w:p>
    <w:p w14:paraId="0764B4A9" w14:textId="77777777" w:rsidR="003C449A" w:rsidRDefault="003C449A" w:rsidP="003C449A">
      <w:pPr>
        <w:pStyle w:val="Heading2"/>
      </w:pPr>
      <w:r>
        <w:t>User LEV logbook example – not all checks will be required for all types of LEV</w:t>
      </w:r>
    </w:p>
    <w:tbl>
      <w:tblPr>
        <w:tblStyle w:val="GridTable1Light-Accent1"/>
        <w:tblW w:w="0" w:type="auto"/>
        <w:tblLook w:val="04A0" w:firstRow="1" w:lastRow="0" w:firstColumn="1" w:lastColumn="0" w:noHBand="0" w:noVBand="1"/>
      </w:tblPr>
      <w:tblGrid>
        <w:gridCol w:w="2092"/>
        <w:gridCol w:w="2581"/>
        <w:gridCol w:w="1843"/>
        <w:gridCol w:w="1464"/>
        <w:gridCol w:w="2055"/>
        <w:gridCol w:w="2062"/>
        <w:gridCol w:w="1851"/>
      </w:tblGrid>
      <w:tr w:rsidR="003C449A" w14:paraId="4353EF16" w14:textId="77777777" w:rsidTr="00986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3D7366AD" w14:textId="77777777" w:rsidR="003C449A" w:rsidRDefault="003C449A" w:rsidP="009864B4">
            <w:r>
              <w:t>ID no and description of LEV system</w:t>
            </w:r>
          </w:p>
        </w:tc>
        <w:tc>
          <w:tcPr>
            <w:tcW w:w="11856" w:type="dxa"/>
            <w:gridSpan w:val="6"/>
          </w:tcPr>
          <w:p w14:paraId="0F36C5EE" w14:textId="77777777" w:rsidR="003C449A" w:rsidRDefault="003C449A" w:rsidP="009864B4">
            <w:pPr>
              <w:cnfStyle w:val="100000000000" w:firstRow="1" w:lastRow="0" w:firstColumn="0" w:lastColumn="0" w:oddVBand="0" w:evenVBand="0" w:oddHBand="0" w:evenHBand="0" w:firstRowFirstColumn="0" w:firstRowLastColumn="0" w:lastRowFirstColumn="0" w:lastRowLastColumn="0"/>
            </w:pPr>
          </w:p>
        </w:tc>
      </w:tr>
      <w:tr w:rsidR="003C449A" w14:paraId="7A2653E5"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0607FE9B" w14:textId="77777777" w:rsidR="003C449A" w:rsidRPr="00B7172B" w:rsidRDefault="003C449A" w:rsidP="009864B4">
            <w:r w:rsidRPr="00B7172B">
              <w:t>Type of check</w:t>
            </w:r>
          </w:p>
        </w:tc>
        <w:tc>
          <w:tcPr>
            <w:tcW w:w="2581" w:type="dxa"/>
          </w:tcPr>
          <w:p w14:paraId="7BBF2B17"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b/>
              </w:rPr>
            </w:pPr>
            <w:r w:rsidRPr="00B7172B">
              <w:rPr>
                <w:b/>
              </w:rPr>
              <w:t>Frequency of checks</w:t>
            </w:r>
          </w:p>
        </w:tc>
        <w:tc>
          <w:tcPr>
            <w:tcW w:w="1843" w:type="dxa"/>
          </w:tcPr>
          <w:p w14:paraId="6FE506B1"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b/>
              </w:rPr>
            </w:pPr>
            <w:r w:rsidRPr="00B7172B">
              <w:rPr>
                <w:b/>
              </w:rPr>
              <w:t>Date checked</w:t>
            </w:r>
          </w:p>
        </w:tc>
        <w:tc>
          <w:tcPr>
            <w:tcW w:w="1464" w:type="dxa"/>
          </w:tcPr>
          <w:p w14:paraId="403E9F86"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b/>
              </w:rPr>
            </w:pPr>
            <w:r w:rsidRPr="00B7172B">
              <w:rPr>
                <w:b/>
              </w:rPr>
              <w:t>By whom</w:t>
            </w:r>
          </w:p>
        </w:tc>
        <w:tc>
          <w:tcPr>
            <w:tcW w:w="2055" w:type="dxa"/>
          </w:tcPr>
          <w:p w14:paraId="3D7AAED2"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b/>
              </w:rPr>
            </w:pPr>
            <w:r w:rsidRPr="00B7172B">
              <w:rPr>
                <w:b/>
              </w:rPr>
              <w:t>Outcome</w:t>
            </w:r>
          </w:p>
        </w:tc>
        <w:tc>
          <w:tcPr>
            <w:tcW w:w="2062" w:type="dxa"/>
          </w:tcPr>
          <w:p w14:paraId="269191A5"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b/>
              </w:rPr>
            </w:pPr>
            <w:r w:rsidRPr="00B7172B">
              <w:rPr>
                <w:b/>
              </w:rPr>
              <w:t>Remedial actions</w:t>
            </w:r>
            <w:r>
              <w:rPr>
                <w:b/>
              </w:rPr>
              <w:t xml:space="preserve"> and by whom</w:t>
            </w:r>
          </w:p>
        </w:tc>
        <w:tc>
          <w:tcPr>
            <w:tcW w:w="1851" w:type="dxa"/>
          </w:tcPr>
          <w:p w14:paraId="398D3B3D" w14:textId="77777777" w:rsidR="003C449A" w:rsidRPr="00B7172B" w:rsidRDefault="003C449A" w:rsidP="009864B4">
            <w:pPr>
              <w:jc w:val="center"/>
              <w:cnfStyle w:val="000000000000" w:firstRow="0" w:lastRow="0" w:firstColumn="0" w:lastColumn="0" w:oddVBand="0" w:evenVBand="0" w:oddHBand="0" w:evenHBand="0" w:firstRowFirstColumn="0" w:firstRowLastColumn="0" w:lastRowFirstColumn="0" w:lastRowLastColumn="0"/>
              <w:rPr>
                <w:b/>
              </w:rPr>
            </w:pPr>
            <w:r>
              <w:rPr>
                <w:b/>
              </w:rPr>
              <w:t>Date actioned</w:t>
            </w:r>
          </w:p>
        </w:tc>
      </w:tr>
      <w:tr w:rsidR="003C449A" w14:paraId="2AB15B4F"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2B6D75FF" w14:textId="77777777" w:rsidR="003C449A" w:rsidRPr="00B7172B" w:rsidRDefault="003C449A" w:rsidP="009864B4">
            <w:pPr>
              <w:rPr>
                <w:b w:val="0"/>
              </w:rPr>
            </w:pPr>
            <w:r w:rsidRPr="00B7172B">
              <w:rPr>
                <w:b w:val="0"/>
              </w:rPr>
              <w:t>Hood integrity</w:t>
            </w:r>
            <w:r>
              <w:rPr>
                <w:b w:val="0"/>
              </w:rPr>
              <w:t xml:space="preserve"> – no cracks or other faults</w:t>
            </w:r>
          </w:p>
        </w:tc>
        <w:tc>
          <w:tcPr>
            <w:tcW w:w="2581" w:type="dxa"/>
          </w:tcPr>
          <w:p w14:paraId="21549094"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i/>
              </w:rPr>
            </w:pPr>
            <w:r w:rsidRPr="00B7172B">
              <w:rPr>
                <w:i/>
              </w:rPr>
              <w:t>At each use but a more thorough check should be undertaken regularly and recorded on this form</w:t>
            </w:r>
          </w:p>
        </w:tc>
        <w:tc>
          <w:tcPr>
            <w:tcW w:w="1843" w:type="dxa"/>
          </w:tcPr>
          <w:p w14:paraId="443B488B"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315AE0FA"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0675A08E"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699D10DF"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499D1813"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0A746247"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7108A755" w14:textId="77777777" w:rsidR="003C449A" w:rsidRPr="00B7172B" w:rsidRDefault="003C449A" w:rsidP="009864B4">
            <w:pPr>
              <w:rPr>
                <w:b w:val="0"/>
              </w:rPr>
            </w:pPr>
            <w:r w:rsidRPr="00B7172B">
              <w:rPr>
                <w:b w:val="0"/>
              </w:rPr>
              <w:t>Airflow indicators operational</w:t>
            </w:r>
            <w:r>
              <w:rPr>
                <w:b w:val="0"/>
              </w:rPr>
              <w:t xml:space="preserve"> and at correct level for LEV</w:t>
            </w:r>
          </w:p>
        </w:tc>
        <w:tc>
          <w:tcPr>
            <w:tcW w:w="2581" w:type="dxa"/>
          </w:tcPr>
          <w:p w14:paraId="74086C93"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r w:rsidRPr="00B7172B">
              <w:rPr>
                <w:i/>
              </w:rPr>
              <w:t>At each use but a more thorough check should be undertaken regularly and recorded on this form</w:t>
            </w:r>
          </w:p>
        </w:tc>
        <w:tc>
          <w:tcPr>
            <w:tcW w:w="1843" w:type="dxa"/>
          </w:tcPr>
          <w:p w14:paraId="023A379F"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0E7477C0"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2522C1F1"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4177061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0E310AB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16E62BAF"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2DEAEAD4" w14:textId="77777777" w:rsidR="003C449A" w:rsidRPr="00B7172B" w:rsidRDefault="003C449A" w:rsidP="009864B4">
            <w:pPr>
              <w:rPr>
                <w:b w:val="0"/>
              </w:rPr>
            </w:pPr>
            <w:r w:rsidRPr="00B7172B">
              <w:rPr>
                <w:b w:val="0"/>
              </w:rPr>
              <w:t>Sash operational and in good repair</w:t>
            </w:r>
          </w:p>
        </w:tc>
        <w:tc>
          <w:tcPr>
            <w:tcW w:w="2581" w:type="dxa"/>
          </w:tcPr>
          <w:p w14:paraId="283F80DD"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r w:rsidRPr="00B7172B">
              <w:rPr>
                <w:i/>
              </w:rPr>
              <w:t xml:space="preserve">At each use but a more thorough check should be undertaken regularly </w:t>
            </w:r>
            <w:r w:rsidRPr="00B7172B">
              <w:rPr>
                <w:i/>
              </w:rPr>
              <w:lastRenderedPageBreak/>
              <w:t>and recorded on this form</w:t>
            </w:r>
          </w:p>
        </w:tc>
        <w:tc>
          <w:tcPr>
            <w:tcW w:w="1843" w:type="dxa"/>
          </w:tcPr>
          <w:p w14:paraId="273F5A7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447DE883"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2D4DB14C"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189783EF"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07AD1AB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5051675C"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17268635" w14:textId="77777777" w:rsidR="003C449A" w:rsidRPr="00B7172B" w:rsidRDefault="003C449A" w:rsidP="009864B4">
            <w:pPr>
              <w:rPr>
                <w:b w:val="0"/>
              </w:rPr>
            </w:pPr>
            <w:r w:rsidRPr="00B7172B">
              <w:rPr>
                <w:b w:val="0"/>
              </w:rPr>
              <w:t>Filters in date</w:t>
            </w:r>
          </w:p>
        </w:tc>
        <w:tc>
          <w:tcPr>
            <w:tcW w:w="2581" w:type="dxa"/>
          </w:tcPr>
          <w:p w14:paraId="3BF76A7C"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r w:rsidRPr="00B7172B">
              <w:rPr>
                <w:i/>
              </w:rPr>
              <w:t>At each use but a more thorough check should be undertaken regularly and recorded on this form</w:t>
            </w:r>
          </w:p>
        </w:tc>
        <w:tc>
          <w:tcPr>
            <w:tcW w:w="1843" w:type="dxa"/>
          </w:tcPr>
          <w:p w14:paraId="1DBCD89D"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70CEB009"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44444188"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0992C66A"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5ED29956"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29CD0A38"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5DF71C92" w14:textId="77777777" w:rsidR="003C449A" w:rsidRPr="00B7172B" w:rsidRDefault="003C449A" w:rsidP="009864B4">
            <w:pPr>
              <w:rPr>
                <w:b w:val="0"/>
              </w:rPr>
            </w:pPr>
            <w:r w:rsidRPr="00B7172B">
              <w:rPr>
                <w:b w:val="0"/>
              </w:rPr>
              <w:t>Filters correct for contaminant</w:t>
            </w:r>
          </w:p>
        </w:tc>
        <w:tc>
          <w:tcPr>
            <w:tcW w:w="2581" w:type="dxa"/>
          </w:tcPr>
          <w:p w14:paraId="6C0FF94F"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i/>
              </w:rPr>
            </w:pPr>
            <w:r w:rsidRPr="00B7172B">
              <w:rPr>
                <w:i/>
              </w:rPr>
              <w:t>Must be checked if a new or different process is begun using the LEV equipment</w:t>
            </w:r>
          </w:p>
        </w:tc>
        <w:tc>
          <w:tcPr>
            <w:tcW w:w="1843" w:type="dxa"/>
          </w:tcPr>
          <w:p w14:paraId="3BDC3799"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0A4DB1A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61A497E0"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0263482B"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35D43A4A"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13ACB5F3"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3A0DCEF3" w14:textId="77777777" w:rsidR="003C449A" w:rsidRPr="00B7172B" w:rsidRDefault="003C449A" w:rsidP="009864B4">
            <w:pPr>
              <w:rPr>
                <w:b w:val="0"/>
              </w:rPr>
            </w:pPr>
            <w:r w:rsidRPr="00B7172B">
              <w:rPr>
                <w:b w:val="0"/>
              </w:rPr>
              <w:t>Fan noise appears consistent (not louder or quieter than normal which could indicate a fault)</w:t>
            </w:r>
          </w:p>
        </w:tc>
        <w:tc>
          <w:tcPr>
            <w:tcW w:w="2581" w:type="dxa"/>
          </w:tcPr>
          <w:p w14:paraId="3EC91A7E"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r w:rsidRPr="00B7172B">
              <w:rPr>
                <w:i/>
              </w:rPr>
              <w:t>At each use but a more thorough check should be undertaken regularly and recorded on this form</w:t>
            </w:r>
          </w:p>
        </w:tc>
        <w:tc>
          <w:tcPr>
            <w:tcW w:w="1843" w:type="dxa"/>
          </w:tcPr>
          <w:p w14:paraId="440A21EC"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53C445E2"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2BB9BF3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0FE8E80A"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751A794F"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29DD3FC9"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63CCF4A1" w14:textId="77777777" w:rsidR="003C449A" w:rsidRPr="00B7172B" w:rsidRDefault="003C449A" w:rsidP="009864B4">
            <w:pPr>
              <w:rPr>
                <w:b w:val="0"/>
              </w:rPr>
            </w:pPr>
            <w:r>
              <w:rPr>
                <w:b w:val="0"/>
              </w:rPr>
              <w:t xml:space="preserve">Movable hood – capture zone clearly identified </w:t>
            </w:r>
          </w:p>
        </w:tc>
        <w:tc>
          <w:tcPr>
            <w:tcW w:w="2581" w:type="dxa"/>
          </w:tcPr>
          <w:p w14:paraId="48D1BE06"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r w:rsidRPr="00B7172B">
              <w:rPr>
                <w:i/>
              </w:rPr>
              <w:t>At each use but a more thorough check should be undertaken regularly and recorded on this form</w:t>
            </w:r>
          </w:p>
        </w:tc>
        <w:tc>
          <w:tcPr>
            <w:tcW w:w="1843" w:type="dxa"/>
          </w:tcPr>
          <w:p w14:paraId="3173B77C"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3F52D89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684B7902"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326E3A5D"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49C1C632"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r w:rsidR="003C449A" w14:paraId="0484E194" w14:textId="77777777" w:rsidTr="009864B4">
        <w:tc>
          <w:tcPr>
            <w:cnfStyle w:val="001000000000" w:firstRow="0" w:lastRow="0" w:firstColumn="1" w:lastColumn="0" w:oddVBand="0" w:evenVBand="0" w:oddHBand="0" w:evenHBand="0" w:firstRowFirstColumn="0" w:firstRowLastColumn="0" w:lastRowFirstColumn="0" w:lastRowLastColumn="0"/>
            <w:tcW w:w="2092" w:type="dxa"/>
          </w:tcPr>
          <w:p w14:paraId="27E4D0C5" w14:textId="77777777" w:rsidR="003C449A" w:rsidRDefault="003C449A" w:rsidP="009864B4">
            <w:pPr>
              <w:rPr>
                <w:b w:val="0"/>
              </w:rPr>
            </w:pPr>
            <w:r>
              <w:rPr>
                <w:b w:val="0"/>
              </w:rPr>
              <w:lastRenderedPageBreak/>
              <w:t>Thorough examination and testing undertaken</w:t>
            </w:r>
          </w:p>
        </w:tc>
        <w:tc>
          <w:tcPr>
            <w:tcW w:w="2581" w:type="dxa"/>
          </w:tcPr>
          <w:p w14:paraId="1029EBBD" w14:textId="77777777" w:rsidR="003C449A" w:rsidRPr="00B7172B" w:rsidRDefault="003C449A" w:rsidP="009864B4">
            <w:pPr>
              <w:cnfStyle w:val="000000000000" w:firstRow="0" w:lastRow="0" w:firstColumn="0" w:lastColumn="0" w:oddVBand="0" w:evenVBand="0" w:oddHBand="0" w:evenHBand="0" w:firstRowFirstColumn="0" w:firstRowLastColumn="0" w:lastRowFirstColumn="0" w:lastRowLastColumn="0"/>
              <w:rPr>
                <w:i/>
              </w:rPr>
            </w:pPr>
            <w:r w:rsidRPr="00B7172B">
              <w:rPr>
                <w:i/>
              </w:rPr>
              <w:t xml:space="preserve">Managed by Estates Department for fixed LEV and by the School for mobile LEV – must be undertaken </w:t>
            </w:r>
            <w:r>
              <w:rPr>
                <w:i/>
              </w:rPr>
              <w:t xml:space="preserve">at least </w:t>
            </w:r>
            <w:r w:rsidRPr="00B7172B">
              <w:rPr>
                <w:i/>
              </w:rPr>
              <w:t>every 14 months. Local check would be checking the date on the sticker affixed to the LEV. If the test is more than 14 months ago, LEV to be put out of use and reported</w:t>
            </w:r>
            <w:r>
              <w:rPr>
                <w:i/>
              </w:rPr>
              <w:t xml:space="preserve"> and testing arranged</w:t>
            </w:r>
          </w:p>
        </w:tc>
        <w:tc>
          <w:tcPr>
            <w:tcW w:w="1843" w:type="dxa"/>
          </w:tcPr>
          <w:p w14:paraId="334560CB"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464" w:type="dxa"/>
          </w:tcPr>
          <w:p w14:paraId="079F08E4"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55" w:type="dxa"/>
          </w:tcPr>
          <w:p w14:paraId="7B24CEB1"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2062" w:type="dxa"/>
          </w:tcPr>
          <w:p w14:paraId="4E1A6186"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c>
          <w:tcPr>
            <w:tcW w:w="1851" w:type="dxa"/>
          </w:tcPr>
          <w:p w14:paraId="651C2A05" w14:textId="77777777" w:rsidR="003C449A" w:rsidRDefault="003C449A" w:rsidP="009864B4">
            <w:pPr>
              <w:cnfStyle w:val="000000000000" w:firstRow="0" w:lastRow="0" w:firstColumn="0" w:lastColumn="0" w:oddVBand="0" w:evenVBand="0" w:oddHBand="0" w:evenHBand="0" w:firstRowFirstColumn="0" w:firstRowLastColumn="0" w:lastRowFirstColumn="0" w:lastRowLastColumn="0"/>
            </w:pPr>
          </w:p>
        </w:tc>
      </w:tr>
    </w:tbl>
    <w:p w14:paraId="78CEA37C" w14:textId="77777777" w:rsidR="003C449A" w:rsidRDefault="003C449A" w:rsidP="003C449A"/>
    <w:p w14:paraId="2A62B925" w14:textId="77777777" w:rsidR="003C449A" w:rsidRDefault="003C449A" w:rsidP="003C449A">
      <w:r>
        <w:t xml:space="preserve">More guidance on good practice and use can be found at: </w:t>
      </w:r>
    </w:p>
    <w:p w14:paraId="286585E7" w14:textId="77777777" w:rsidR="003C449A" w:rsidRPr="00B8392A" w:rsidRDefault="003C449A" w:rsidP="003C449A">
      <w:pPr>
        <w:pStyle w:val="BodyText"/>
        <w:widowControl w:val="0"/>
        <w:numPr>
          <w:ilvl w:val="0"/>
          <w:numId w:val="15"/>
        </w:numPr>
        <w:autoSpaceDE w:val="0"/>
        <w:autoSpaceDN w:val="0"/>
        <w:spacing w:after="0"/>
        <w:rPr>
          <w:rFonts w:cstheme="minorHAnsi"/>
          <w:sz w:val="22"/>
          <w:szCs w:val="22"/>
        </w:rPr>
      </w:pPr>
      <w:r w:rsidRPr="00B8392A">
        <w:rPr>
          <w:rFonts w:cstheme="minorHAnsi"/>
          <w:sz w:val="22"/>
          <w:szCs w:val="22"/>
        </w:rPr>
        <w:t xml:space="preserve">Chemical substances at </w:t>
      </w:r>
      <w:hyperlink r:id="rId11" w:history="1">
        <w:r w:rsidRPr="00B8392A">
          <w:rPr>
            <w:rStyle w:val="Hyperlink"/>
            <w:rFonts w:cstheme="minorHAnsi"/>
            <w:sz w:val="22"/>
            <w:szCs w:val="22"/>
          </w:rPr>
          <w:t>https://www.ed.ac.uk/health-safety/policy-cop/cop/cop-cs</w:t>
        </w:r>
      </w:hyperlink>
      <w:r w:rsidRPr="00B8392A">
        <w:rPr>
          <w:rFonts w:cstheme="minorHAnsi"/>
          <w:sz w:val="22"/>
          <w:szCs w:val="22"/>
        </w:rPr>
        <w:t xml:space="preserve">   </w:t>
      </w:r>
    </w:p>
    <w:p w14:paraId="59CEB101" w14:textId="77777777" w:rsidR="003C449A" w:rsidRDefault="003C449A" w:rsidP="003C449A">
      <w:pPr>
        <w:pStyle w:val="BodyText"/>
        <w:widowControl w:val="0"/>
        <w:numPr>
          <w:ilvl w:val="0"/>
          <w:numId w:val="15"/>
        </w:numPr>
        <w:autoSpaceDE w:val="0"/>
        <w:autoSpaceDN w:val="0"/>
        <w:spacing w:after="0"/>
        <w:rPr>
          <w:rFonts w:cstheme="minorHAnsi"/>
          <w:sz w:val="22"/>
          <w:szCs w:val="22"/>
        </w:rPr>
      </w:pPr>
      <w:r w:rsidRPr="00B8392A">
        <w:rPr>
          <w:rFonts w:cstheme="minorHAnsi"/>
          <w:sz w:val="22"/>
          <w:szCs w:val="22"/>
        </w:rPr>
        <w:t xml:space="preserve">Biological substances at </w:t>
      </w:r>
      <w:hyperlink r:id="rId12" w:history="1">
        <w:r w:rsidRPr="00B8392A">
          <w:rPr>
            <w:rStyle w:val="Hyperlink"/>
            <w:rFonts w:cstheme="minorHAnsi"/>
            <w:sz w:val="22"/>
            <w:szCs w:val="22"/>
          </w:rPr>
          <w:t>https://www.ed.ac.uk/health-safety/biosafety/policy/guidance/containment-and-controls</w:t>
        </w:r>
      </w:hyperlink>
      <w:r w:rsidRPr="00B8392A">
        <w:rPr>
          <w:rFonts w:cstheme="minorHAnsi"/>
          <w:sz w:val="22"/>
          <w:szCs w:val="22"/>
        </w:rPr>
        <w:t xml:space="preserve"> </w:t>
      </w:r>
    </w:p>
    <w:p w14:paraId="69695524" w14:textId="77777777" w:rsidR="003C449A" w:rsidRPr="00B61D97" w:rsidRDefault="003C449A" w:rsidP="003C449A">
      <w:pPr>
        <w:pStyle w:val="BodyText"/>
        <w:widowControl w:val="0"/>
        <w:numPr>
          <w:ilvl w:val="0"/>
          <w:numId w:val="15"/>
        </w:numPr>
        <w:autoSpaceDE w:val="0"/>
        <w:autoSpaceDN w:val="0"/>
        <w:spacing w:after="0"/>
        <w:rPr>
          <w:rStyle w:val="Hyperlink"/>
          <w:rFonts w:cstheme="minorHAnsi"/>
          <w:sz w:val="22"/>
          <w:szCs w:val="22"/>
        </w:rPr>
      </w:pPr>
      <w:r w:rsidRPr="00B61D97">
        <w:rPr>
          <w:rFonts w:cstheme="minorHAnsi"/>
        </w:rPr>
        <w:t xml:space="preserve">Radioactive substances at </w:t>
      </w:r>
      <w:hyperlink r:id="rId13" w:history="1">
        <w:r w:rsidRPr="00B61D97">
          <w:rPr>
            <w:rStyle w:val="Hyperlink"/>
            <w:rFonts w:cstheme="minorHAnsi"/>
          </w:rPr>
          <w:t>https://www.ed.ac.uk/health-safety/radiation-protection/codes-of-practice-and-guidance/guidance-notes</w:t>
        </w:r>
      </w:hyperlink>
    </w:p>
    <w:p w14:paraId="08F447DC" w14:textId="77777777" w:rsidR="003C449A" w:rsidRDefault="003C449A" w:rsidP="003C449A">
      <w:pPr>
        <w:pStyle w:val="BodyText"/>
        <w:rPr>
          <w:rStyle w:val="Hyperlink"/>
          <w:rFonts w:cstheme="minorHAnsi"/>
        </w:rPr>
      </w:pPr>
    </w:p>
    <w:p w14:paraId="1E75671D" w14:textId="77777777" w:rsidR="003C449A" w:rsidRPr="006B2F74" w:rsidRDefault="003C449A" w:rsidP="003C449A">
      <w:pPr>
        <w:pStyle w:val="BodyText"/>
        <w:rPr>
          <w:rStyle w:val="Hyperlink"/>
          <w:rFonts w:cstheme="minorHAnsi"/>
          <w:sz w:val="22"/>
          <w:szCs w:val="22"/>
        </w:rPr>
      </w:pPr>
      <w:r w:rsidRPr="006B2F74">
        <w:rPr>
          <w:rStyle w:val="Hyperlink"/>
          <w:rFonts w:cstheme="minorHAnsi"/>
        </w:rPr>
        <w:t>Thorough checks include a more formal look over the items detailed with a record of that check recorded on this form. The more thorough user check may be undertaken by an identified staff member, such as a Technical Manager, Laboratory Supervisor etc. as opposed to daily users.</w:t>
      </w:r>
    </w:p>
    <w:p w14:paraId="2F7EA5ED" w14:textId="77777777" w:rsidR="00A44B2B" w:rsidRPr="003C449A" w:rsidRDefault="00A44B2B" w:rsidP="003C449A"/>
    <w:sectPr w:rsidR="00A44B2B" w:rsidRPr="003C449A" w:rsidSect="003C449A">
      <w:headerReference w:type="default" r:id="rId14"/>
      <w:footerReference w:type="default" r:id="rId15"/>
      <w:pgSz w:w="16838" w:h="11906" w:orient="landscape"/>
      <w:pgMar w:top="1800" w:right="1258" w:bottom="1800" w:left="144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D191" w14:textId="3A69A885"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3C449A" w:rsidRPr="00C91D00">
      <w:rPr>
        <w:rFonts w:ascii="Arial" w:hAnsi="Arial" w:cs="Arial"/>
        <w:color w:val="000080"/>
        <w:sz w:val="16"/>
        <w:szCs w:val="16"/>
      </w:rPr>
      <w:t xml:space="preserve">Occupational Hygiene Unit on </w:t>
    </w:r>
    <w:r w:rsidR="003C449A">
      <w:rPr>
        <w:rFonts w:ascii="Arial" w:hAnsi="Arial" w:cs="Arial"/>
        <w:color w:val="000080"/>
        <w:sz w:val="16"/>
        <w:szCs w:val="16"/>
      </w:rPr>
      <w:t>04/10</w:t>
    </w:r>
    <w:r w:rsidR="003C449A" w:rsidRPr="00C91D00">
      <w:rPr>
        <w:rFonts w:ascii="Arial" w:hAnsi="Arial" w:cs="Arial"/>
        <w:color w:val="000080"/>
        <w:sz w:val="16"/>
        <w:szCs w:val="16"/>
      </w:rPr>
      <w:t>/2022</w:t>
    </w:r>
    <w:r w:rsidR="00F13B19" w:rsidRPr="001545A2">
      <w:rPr>
        <w:rFonts w:cs="Arial"/>
        <w:color w:val="000080"/>
        <w:sz w:val="16"/>
        <w:szCs w:val="16"/>
      </w:rPr>
      <w:tab/>
    </w:r>
    <w:r w:rsidR="003C449A">
      <w:rPr>
        <w:rFonts w:cs="Arial"/>
        <w:color w:val="000080"/>
        <w:sz w:val="16"/>
        <w:szCs w:val="16"/>
      </w:rPr>
      <w:t>V1.0</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BD3C4D">
      <w:rPr>
        <w:rFonts w:cs="Arial"/>
        <w:noProof/>
        <w:color w:val="000080"/>
        <w:sz w:val="16"/>
        <w:szCs w:val="16"/>
      </w:rPr>
      <w:t>2</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BD3C4D">
      <w:rPr>
        <w:rFonts w:cs="Arial"/>
        <w:noProof/>
        <w:color w:val="000080"/>
        <w:sz w:val="16"/>
        <w:szCs w:val="16"/>
      </w:rPr>
      <w:t>3</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8D3EC2"/>
    <w:multiLevelType w:val="hybridMultilevel"/>
    <w:tmpl w:val="13AE39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A5275"/>
    <w:rsid w:val="000E4BC1"/>
    <w:rsid w:val="001115D9"/>
    <w:rsid w:val="001545A2"/>
    <w:rsid w:val="001A16E8"/>
    <w:rsid w:val="001D60E9"/>
    <w:rsid w:val="001E4F29"/>
    <w:rsid w:val="002458FB"/>
    <w:rsid w:val="00246294"/>
    <w:rsid w:val="002756C4"/>
    <w:rsid w:val="002E65A2"/>
    <w:rsid w:val="0032275B"/>
    <w:rsid w:val="003276EC"/>
    <w:rsid w:val="003314F3"/>
    <w:rsid w:val="003835AE"/>
    <w:rsid w:val="003854EB"/>
    <w:rsid w:val="003C449A"/>
    <w:rsid w:val="00403F5F"/>
    <w:rsid w:val="0044276F"/>
    <w:rsid w:val="004A59AB"/>
    <w:rsid w:val="004B3BAB"/>
    <w:rsid w:val="004E047F"/>
    <w:rsid w:val="00584969"/>
    <w:rsid w:val="005D2B71"/>
    <w:rsid w:val="005D2C8E"/>
    <w:rsid w:val="00613D5B"/>
    <w:rsid w:val="006202E1"/>
    <w:rsid w:val="006303FA"/>
    <w:rsid w:val="00643D92"/>
    <w:rsid w:val="00644A73"/>
    <w:rsid w:val="006A213D"/>
    <w:rsid w:val="006B5E69"/>
    <w:rsid w:val="006C4F91"/>
    <w:rsid w:val="006E3BEF"/>
    <w:rsid w:val="006F274A"/>
    <w:rsid w:val="006F65DA"/>
    <w:rsid w:val="00772EB9"/>
    <w:rsid w:val="007C6846"/>
    <w:rsid w:val="00810696"/>
    <w:rsid w:val="00860B38"/>
    <w:rsid w:val="008D4A21"/>
    <w:rsid w:val="00963DEC"/>
    <w:rsid w:val="009714AA"/>
    <w:rsid w:val="00990232"/>
    <w:rsid w:val="009C278A"/>
    <w:rsid w:val="009C6130"/>
    <w:rsid w:val="009C644E"/>
    <w:rsid w:val="00A04E71"/>
    <w:rsid w:val="00A44B2B"/>
    <w:rsid w:val="00A6458F"/>
    <w:rsid w:val="00A92242"/>
    <w:rsid w:val="00AB3018"/>
    <w:rsid w:val="00AF12AB"/>
    <w:rsid w:val="00AF77A6"/>
    <w:rsid w:val="00B348E0"/>
    <w:rsid w:val="00B625F7"/>
    <w:rsid w:val="00B80F55"/>
    <w:rsid w:val="00BB2A46"/>
    <w:rsid w:val="00BB6998"/>
    <w:rsid w:val="00BC59E5"/>
    <w:rsid w:val="00BD3C4D"/>
    <w:rsid w:val="00C1114D"/>
    <w:rsid w:val="00C25011"/>
    <w:rsid w:val="00C5272B"/>
    <w:rsid w:val="00D00824"/>
    <w:rsid w:val="00D01199"/>
    <w:rsid w:val="00D47988"/>
    <w:rsid w:val="00E11D7D"/>
    <w:rsid w:val="00E5186A"/>
    <w:rsid w:val="00EE424D"/>
    <w:rsid w:val="00F13B19"/>
    <w:rsid w:val="00FA09E1"/>
    <w:rsid w:val="00FD29F2"/>
    <w:rsid w:val="00FE2379"/>
    <w:rsid w:val="0803C0CB"/>
    <w:rsid w:val="146E43A3"/>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health-safety/radiation-protection/codes-of-practice-and-guidance/guidance-no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ac.uk/health-safety/biosafety/policy/guidance/containment-and-contr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health-safety/policy-cop/cop/cop-c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cs.csg.ed.ac.uk/Safety/Policy/CSCoP004LocalExhaustVentilationV1.0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8" ma:contentTypeDescription="Create a new document." ma:contentTypeScope="" ma:versionID="d6db125d35c532c1b216cd20d2af643e">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76270a6bdb0698e71cf8a06980396208"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lcf76f155ced4ddcb4097134ff3c332f xmlns="8fb7119e-831b-4203-9e69-6525ea81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2CFAEDC1-B747-4E44-BBDD-A5CB7B04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fc81726-a38c-4c18-91aa-888b6374bcdf"/>
    <ds:schemaRef ds:uri="8fb7119e-831b-4203-9e69-6525ea818a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2410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Candice Schmid</cp:lastModifiedBy>
  <cp:revision>2</cp:revision>
  <cp:lastPrinted>2009-04-03T11:49:00Z</cp:lastPrinted>
  <dcterms:created xsi:type="dcterms:W3CDTF">2023-03-06T12:45:00Z</dcterms:created>
  <dcterms:modified xsi:type="dcterms:W3CDTF">2023-03-06T12:45:00Z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y fmtid="{D5CDD505-2E9C-101B-9397-08002B2CF9AE}" pid="4" name="MediaServiceImageTags">
    <vt:lpwstr/>
  </property>
</Properties>
</file>